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540" w:lineRule="exact"/>
        <w:ind w:firstLine="723" w:firstLineChars="200"/>
        <w:jc w:val="center"/>
        <w:rPr>
          <w:rFonts w:ascii="黑体" w:hAnsi="黑体" w:eastAsia="黑体" w:cs="宋体"/>
          <w:b/>
          <w:kern w:val="0"/>
          <w:sz w:val="36"/>
          <w:szCs w:val="36"/>
        </w:rPr>
      </w:pPr>
      <w:r>
        <w:rPr>
          <w:rFonts w:hint="eastAsia" w:ascii="黑体" w:hAnsi="黑体" w:eastAsia="黑体" w:cs="宋体"/>
          <w:b/>
          <w:kern w:val="0"/>
          <w:sz w:val="36"/>
          <w:szCs w:val="36"/>
        </w:rPr>
        <w:t>新疆财政</w:t>
      </w:r>
      <w:bookmarkStart w:id="0" w:name="_Hlk532982692"/>
      <w:r>
        <w:rPr>
          <w:rFonts w:hint="eastAsia" w:ascii="黑体" w:hAnsi="黑体" w:eastAsia="黑体" w:cs="宋体"/>
          <w:b/>
          <w:kern w:val="0"/>
          <w:sz w:val="36"/>
          <w:szCs w:val="36"/>
        </w:rPr>
        <w:t>部门基本支出</w:t>
      </w:r>
      <w:bookmarkEnd w:id="0"/>
      <w:r>
        <w:rPr>
          <w:rFonts w:hint="eastAsia" w:ascii="黑体" w:hAnsi="黑体" w:eastAsia="黑体" w:cs="宋体"/>
          <w:b/>
          <w:kern w:val="0"/>
          <w:sz w:val="36"/>
          <w:szCs w:val="36"/>
        </w:rPr>
        <w:t>绩效自评报告</w:t>
      </w:r>
    </w:p>
    <w:p>
      <w:pPr>
        <w:adjustRightInd w:val="0"/>
        <w:snapToGrid w:val="0"/>
        <w:spacing w:line="540" w:lineRule="exact"/>
        <w:ind w:firstLine="624" w:firstLineChars="200"/>
        <w:outlineLvl w:val="0"/>
        <w:rPr>
          <w:rStyle w:val="19"/>
          <w:rFonts w:ascii="黑体" w:hAnsi="黑体" w:eastAsia="黑体"/>
          <w:b w:val="0"/>
          <w:spacing w:val="-4"/>
          <w:sz w:val="32"/>
          <w:szCs w:val="32"/>
        </w:rPr>
      </w:pPr>
    </w:p>
    <w:p>
      <w:pPr>
        <w:adjustRightInd w:val="0"/>
        <w:snapToGrid w:val="0"/>
        <w:spacing w:line="540" w:lineRule="exact"/>
        <w:ind w:firstLine="624" w:firstLineChars="200"/>
        <w:outlineLvl w:val="0"/>
        <w:rPr>
          <w:rStyle w:val="19"/>
          <w:rFonts w:ascii="黑体" w:hAnsi="黑体" w:eastAsia="黑体"/>
          <w:b w:val="0"/>
          <w:spacing w:val="-4"/>
          <w:sz w:val="32"/>
          <w:szCs w:val="32"/>
        </w:rPr>
      </w:pPr>
      <w:r>
        <w:rPr>
          <w:rStyle w:val="19"/>
          <w:rFonts w:hint="eastAsia" w:ascii="黑体" w:hAnsi="黑体" w:eastAsia="黑体"/>
          <w:b w:val="0"/>
          <w:spacing w:val="-4"/>
          <w:sz w:val="32"/>
          <w:szCs w:val="32"/>
        </w:rPr>
        <w:t>一、部门基本支出概况</w:t>
      </w:r>
    </w:p>
    <w:p>
      <w:pPr>
        <w:adjustRightInd w:val="0"/>
        <w:snapToGrid w:val="0"/>
        <w:spacing w:line="540" w:lineRule="exact"/>
        <w:ind w:firstLine="627" w:firstLineChars="200"/>
        <w:rPr>
          <w:rStyle w:val="19"/>
          <w:rFonts w:ascii="楷体" w:hAnsi="楷体" w:eastAsia="楷体"/>
          <w:spacing w:val="-4"/>
          <w:sz w:val="32"/>
          <w:szCs w:val="32"/>
        </w:rPr>
      </w:pPr>
      <w:r>
        <w:rPr>
          <w:rStyle w:val="19"/>
          <w:rFonts w:hint="eastAsia" w:ascii="楷体" w:hAnsi="楷体" w:eastAsia="楷体"/>
          <w:spacing w:val="-4"/>
          <w:sz w:val="32"/>
          <w:szCs w:val="32"/>
        </w:rPr>
        <w:t>（一）项目单位基本情况</w:t>
      </w:r>
    </w:p>
    <w:p>
      <w:pPr>
        <w:adjustRightInd w:val="0"/>
        <w:snapToGrid w:val="0"/>
        <w:spacing w:line="540" w:lineRule="exact"/>
        <w:ind w:firstLine="600" w:firstLineChars="200"/>
        <w:rPr>
          <w:rStyle w:val="19"/>
          <w:rFonts w:ascii="仿宋" w:hAnsi="仿宋" w:eastAsia="仿宋"/>
          <w:b w:val="0"/>
          <w:color w:val="FF0000"/>
          <w:spacing w:val="-4"/>
          <w:sz w:val="32"/>
          <w:szCs w:val="32"/>
        </w:rPr>
      </w:pPr>
      <w:r>
        <w:rPr>
          <w:rFonts w:hint="eastAsia" w:ascii="仿宋_GB2312" w:eastAsia="仿宋_GB2312"/>
          <w:sz w:val="30"/>
          <w:szCs w:val="30"/>
        </w:rPr>
        <w:t>英吉沙县国土资源局，为英吉沙县政府工作部门。主要贯彻执行国家、自治区有关国土资源土地、矿产、测绘的方针政策、法律法规，拟定英吉沙县有关土地、矿产、测绘管理的政策、制度和规范性文件，并组织实施和监督检查；研究制定全县管理、保护与合理利用土地资源、矿产资源的政策。现有人员编制22名，现有干部22人（其中领导2名），为英吉沙县财政全额拨付经费单位</w:t>
      </w:r>
      <w:r>
        <w:rPr>
          <w:rStyle w:val="19"/>
          <w:rFonts w:hint="eastAsia" w:ascii="仿宋" w:hAnsi="仿宋" w:eastAsia="仿宋"/>
          <w:b w:val="0"/>
          <w:spacing w:val="-4"/>
          <w:sz w:val="32"/>
          <w:szCs w:val="32"/>
        </w:rPr>
        <w:t>。</w:t>
      </w:r>
    </w:p>
    <w:p>
      <w:pPr>
        <w:adjustRightInd w:val="0"/>
        <w:snapToGrid w:val="0"/>
        <w:spacing w:line="540" w:lineRule="exact"/>
        <w:ind w:firstLine="627" w:firstLineChars="200"/>
        <w:rPr>
          <w:rStyle w:val="19"/>
          <w:rFonts w:ascii="黑体" w:hAnsi="黑体" w:eastAsia="黑体"/>
          <w:b w:val="0"/>
          <w:spacing w:val="-4"/>
          <w:sz w:val="32"/>
          <w:szCs w:val="32"/>
        </w:rPr>
      </w:pPr>
      <w:r>
        <w:rPr>
          <w:rStyle w:val="19"/>
          <w:rFonts w:hint="eastAsia" w:ascii="楷体" w:hAnsi="楷体" w:eastAsia="楷体"/>
          <w:spacing w:val="-4"/>
          <w:sz w:val="32"/>
          <w:szCs w:val="32"/>
        </w:rPr>
        <w:t>（二）部门基本支出预算</w:t>
      </w:r>
      <w:r>
        <w:rPr>
          <w:rStyle w:val="19"/>
          <w:rFonts w:ascii="楷体" w:hAnsi="楷体" w:eastAsia="楷体"/>
          <w:spacing w:val="-4"/>
          <w:sz w:val="32"/>
          <w:szCs w:val="32"/>
        </w:rPr>
        <w:t>绩效目标</w:t>
      </w:r>
      <w:r>
        <w:rPr>
          <w:rStyle w:val="19"/>
          <w:rFonts w:hint="eastAsia" w:ascii="楷体" w:hAnsi="楷体" w:eastAsia="楷体"/>
          <w:spacing w:val="-4"/>
          <w:sz w:val="32"/>
          <w:szCs w:val="32"/>
        </w:rPr>
        <w:t>设定情况</w:t>
      </w:r>
    </w:p>
    <w:p>
      <w:pPr>
        <w:adjustRightInd w:val="0"/>
        <w:snapToGrid w:val="0"/>
        <w:spacing w:line="54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1、</w:t>
      </w:r>
      <w:r>
        <w:rPr>
          <w:rStyle w:val="19"/>
          <w:rFonts w:hint="eastAsia" w:ascii="仿宋" w:hAnsi="仿宋" w:eastAsia="仿宋"/>
          <w:spacing w:val="-4"/>
          <w:sz w:val="32"/>
          <w:szCs w:val="32"/>
        </w:rPr>
        <w:t>部门基本支出预期目标及阶段性目标</w:t>
      </w:r>
    </w:p>
    <w:p>
      <w:pPr>
        <w:adjustRightInd w:val="0"/>
        <w:snapToGrid w:val="0"/>
        <w:spacing w:line="540" w:lineRule="exact"/>
        <w:ind w:firstLine="624" w:firstLineChars="200"/>
        <w:rPr>
          <w:rFonts w:ascii="仿宋" w:hAnsi="仿宋" w:eastAsia="仿宋"/>
          <w:bCs/>
          <w:spacing w:val="-4"/>
          <w:sz w:val="32"/>
          <w:szCs w:val="32"/>
        </w:rPr>
      </w:pPr>
      <w:bookmarkStart w:id="1" w:name="_Toc405279309"/>
      <w:r>
        <w:rPr>
          <w:rFonts w:hint="eastAsia" w:ascii="仿宋" w:hAnsi="仿宋" w:eastAsia="仿宋"/>
          <w:bCs/>
          <w:spacing w:val="-4"/>
          <w:sz w:val="32"/>
          <w:szCs w:val="32"/>
        </w:rPr>
        <w:t>城乡建设用地增减挂钩项目工作经费是经县财经工作领导小组同意财政拨付的我局开展我县城乡建设用地增减挂钩项目工作的经费</w:t>
      </w:r>
      <w:r>
        <w:rPr>
          <w:rFonts w:ascii="仿宋" w:hAnsi="仿宋" w:eastAsia="仿宋"/>
          <w:bCs/>
          <w:spacing w:val="-4"/>
          <w:sz w:val="32"/>
          <w:szCs w:val="32"/>
        </w:rPr>
        <w:t>。</w:t>
      </w:r>
      <w:bookmarkEnd w:id="1"/>
      <w:r>
        <w:rPr>
          <w:rFonts w:hint="eastAsia" w:ascii="仿宋" w:hAnsi="仿宋" w:eastAsia="仿宋"/>
          <w:bCs/>
          <w:spacing w:val="-4"/>
          <w:sz w:val="32"/>
          <w:szCs w:val="32"/>
        </w:rPr>
        <w:t>此经费主要支付</w:t>
      </w:r>
      <w:r>
        <w:rPr>
          <w:rFonts w:hint="eastAsia" w:ascii="仿宋" w:hAnsi="仿宋" w:eastAsia="仿宋" w:cs="宋体"/>
          <w:color w:val="333333"/>
          <w:kern w:val="0"/>
          <w:sz w:val="32"/>
          <w:szCs w:val="32"/>
        </w:rPr>
        <w:t>在开展城乡建设用地增减挂钩项目中的各项</w:t>
      </w:r>
      <w:r>
        <w:rPr>
          <w:rFonts w:hint="eastAsia" w:ascii="仿宋" w:hAnsi="仿宋" w:eastAsia="仿宋"/>
          <w:bCs/>
          <w:spacing w:val="-4"/>
          <w:sz w:val="32"/>
          <w:szCs w:val="32"/>
        </w:rPr>
        <w:t>费用。通过</w:t>
      </w:r>
      <w:r>
        <w:rPr>
          <w:rFonts w:hint="eastAsia" w:ascii="仿宋" w:hAnsi="仿宋" w:eastAsia="仿宋" w:cs="宋体"/>
          <w:color w:val="333333"/>
          <w:kern w:val="0"/>
          <w:sz w:val="32"/>
          <w:szCs w:val="32"/>
        </w:rPr>
        <w:t>开展城乡建设用地增减挂钩项目，产生的建设用地指标可以异地交易，预计2018年交易资金约为2亿元，有效助力我县脱贫攻坚工作</w:t>
      </w:r>
      <w:r>
        <w:rPr>
          <w:rFonts w:hint="eastAsia" w:ascii="仿宋" w:hAnsi="仿宋" w:eastAsia="仿宋"/>
          <w:bCs/>
          <w:spacing w:val="-4"/>
          <w:sz w:val="32"/>
          <w:szCs w:val="32"/>
        </w:rPr>
        <w:t>。</w:t>
      </w:r>
    </w:p>
    <w:p>
      <w:pPr>
        <w:adjustRightInd w:val="0"/>
        <w:snapToGrid w:val="0"/>
        <w:spacing w:line="540" w:lineRule="exact"/>
        <w:ind w:firstLine="640" w:firstLineChars="200"/>
        <w:rPr>
          <w:rStyle w:val="19"/>
          <w:b w:val="0"/>
          <w:bCs w:val="0"/>
        </w:rPr>
      </w:pPr>
      <w:r>
        <w:rPr>
          <w:rStyle w:val="19"/>
          <w:rFonts w:hint="eastAsia"/>
          <w:b w:val="0"/>
          <w:bCs w:val="0"/>
          <w:sz w:val="32"/>
          <w:szCs w:val="32"/>
        </w:rPr>
        <w:t>2、</w:t>
      </w:r>
      <w:bookmarkStart w:id="2" w:name="_Hlk532984683"/>
      <w:r>
        <w:rPr>
          <w:rStyle w:val="19"/>
          <w:rFonts w:hint="eastAsia" w:ascii="仿宋" w:hAnsi="仿宋" w:eastAsia="仿宋"/>
          <w:spacing w:val="-4"/>
          <w:sz w:val="32"/>
          <w:szCs w:val="32"/>
        </w:rPr>
        <w:t>部门基本支出</w:t>
      </w:r>
      <w:bookmarkEnd w:id="2"/>
      <w:r>
        <w:rPr>
          <w:rStyle w:val="19"/>
          <w:rFonts w:hint="eastAsia" w:ascii="仿宋" w:hAnsi="仿宋" w:eastAsia="仿宋"/>
          <w:spacing w:val="-4"/>
          <w:sz w:val="32"/>
          <w:szCs w:val="32"/>
        </w:rPr>
        <w:t>性质</w:t>
      </w:r>
    </w:p>
    <w:p>
      <w:pPr>
        <w:adjustRightInd w:val="0"/>
        <w:snapToGrid w:val="0"/>
        <w:spacing w:line="54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支出性质为</w:t>
      </w:r>
      <w:r>
        <w:rPr>
          <w:rFonts w:hint="eastAsia" w:ascii="仿宋" w:hAnsi="仿宋" w:eastAsia="仿宋" w:cs="宋体"/>
          <w:color w:val="333333"/>
          <w:kern w:val="0"/>
          <w:sz w:val="32"/>
          <w:szCs w:val="32"/>
        </w:rPr>
        <w:t>在开展城乡建设用地增减挂钩项目中的各项</w:t>
      </w:r>
      <w:r>
        <w:rPr>
          <w:rFonts w:hint="eastAsia" w:ascii="仿宋" w:hAnsi="仿宋" w:eastAsia="仿宋"/>
          <w:bCs/>
          <w:spacing w:val="-4"/>
          <w:sz w:val="32"/>
          <w:szCs w:val="32"/>
        </w:rPr>
        <w:t>费用。</w:t>
      </w:r>
    </w:p>
    <w:p>
      <w:pPr>
        <w:adjustRightInd w:val="0"/>
        <w:snapToGrid w:val="0"/>
        <w:spacing w:line="54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3、部门基本支出主要用途、范围以及主要内容</w:t>
      </w:r>
    </w:p>
    <w:p>
      <w:pPr>
        <w:adjustRightInd w:val="0"/>
        <w:snapToGrid w:val="0"/>
        <w:spacing w:line="540" w:lineRule="exact"/>
        <w:ind w:firstLine="624" w:firstLineChars="200"/>
        <w:outlineLvl w:val="0"/>
        <w:rPr>
          <w:rFonts w:ascii="仿宋" w:hAnsi="仿宋" w:eastAsia="仿宋"/>
          <w:bCs/>
          <w:spacing w:val="-4"/>
          <w:sz w:val="32"/>
          <w:szCs w:val="32"/>
        </w:rPr>
      </w:pPr>
      <w:r>
        <w:rPr>
          <w:rFonts w:hint="eastAsia" w:ascii="仿宋" w:hAnsi="仿宋" w:eastAsia="仿宋"/>
          <w:bCs/>
          <w:spacing w:val="-4"/>
          <w:sz w:val="32"/>
          <w:szCs w:val="32"/>
        </w:rPr>
        <w:t>此经费主要支付</w:t>
      </w:r>
      <w:r>
        <w:rPr>
          <w:rFonts w:hint="eastAsia" w:ascii="仿宋" w:hAnsi="仿宋" w:eastAsia="仿宋" w:cs="宋体"/>
          <w:color w:val="333333"/>
          <w:kern w:val="0"/>
          <w:sz w:val="32"/>
          <w:szCs w:val="32"/>
        </w:rPr>
        <w:t>在开展城乡建设用地增减挂钩项目中的各项</w:t>
      </w:r>
      <w:r>
        <w:rPr>
          <w:rFonts w:hint="eastAsia" w:ascii="仿宋" w:hAnsi="仿宋" w:eastAsia="仿宋"/>
          <w:bCs/>
          <w:spacing w:val="-4"/>
          <w:sz w:val="32"/>
          <w:szCs w:val="32"/>
        </w:rPr>
        <w:t>费用。</w:t>
      </w:r>
    </w:p>
    <w:p>
      <w:pPr>
        <w:adjustRightInd w:val="0"/>
        <w:snapToGrid w:val="0"/>
        <w:spacing w:line="540" w:lineRule="exact"/>
        <w:ind w:firstLine="624" w:firstLineChars="200"/>
        <w:outlineLvl w:val="0"/>
        <w:rPr>
          <w:rStyle w:val="19"/>
          <w:rFonts w:ascii="黑体" w:hAnsi="黑体" w:eastAsia="黑体"/>
          <w:b w:val="0"/>
          <w:spacing w:val="-4"/>
          <w:sz w:val="32"/>
          <w:szCs w:val="32"/>
        </w:rPr>
      </w:pPr>
      <w:r>
        <w:rPr>
          <w:rStyle w:val="19"/>
          <w:rFonts w:hint="eastAsia" w:ascii="黑体" w:hAnsi="黑体" w:eastAsia="黑体"/>
          <w:b w:val="0"/>
          <w:spacing w:val="-4"/>
          <w:sz w:val="32"/>
          <w:szCs w:val="32"/>
        </w:rPr>
        <w:t>二、</w:t>
      </w:r>
      <w:bookmarkStart w:id="3" w:name="_Hlk532982860"/>
      <w:r>
        <w:rPr>
          <w:rStyle w:val="19"/>
          <w:rFonts w:hint="eastAsia" w:ascii="黑体" w:hAnsi="黑体" w:eastAsia="黑体"/>
          <w:b w:val="0"/>
          <w:spacing w:val="-4"/>
          <w:sz w:val="32"/>
          <w:szCs w:val="32"/>
        </w:rPr>
        <w:t>部门基本支出</w:t>
      </w:r>
      <w:bookmarkEnd w:id="3"/>
      <w:r>
        <w:rPr>
          <w:rStyle w:val="19"/>
          <w:rFonts w:hint="eastAsia" w:ascii="黑体" w:hAnsi="黑体" w:eastAsia="黑体"/>
          <w:b w:val="0"/>
          <w:spacing w:val="-4"/>
          <w:sz w:val="32"/>
          <w:szCs w:val="32"/>
        </w:rPr>
        <w:t>资金使用及管理情况</w:t>
      </w:r>
    </w:p>
    <w:p>
      <w:pPr>
        <w:adjustRightInd w:val="0"/>
        <w:snapToGrid w:val="0"/>
        <w:spacing w:line="540" w:lineRule="exact"/>
        <w:ind w:firstLine="627" w:firstLineChars="200"/>
        <w:outlineLvl w:val="0"/>
        <w:rPr>
          <w:rStyle w:val="19"/>
          <w:rFonts w:ascii="楷体" w:hAnsi="楷体" w:eastAsia="楷体"/>
          <w:spacing w:val="-4"/>
          <w:sz w:val="32"/>
          <w:szCs w:val="32"/>
        </w:rPr>
      </w:pPr>
      <w:r>
        <w:rPr>
          <w:rStyle w:val="19"/>
          <w:rFonts w:hint="eastAsia" w:ascii="楷体" w:hAnsi="楷体" w:eastAsia="楷体"/>
          <w:spacing w:val="-4"/>
          <w:sz w:val="32"/>
          <w:szCs w:val="32"/>
        </w:rPr>
        <w:t>（一）</w:t>
      </w:r>
      <w:bookmarkStart w:id="4" w:name="_Hlk532983746"/>
      <w:r>
        <w:rPr>
          <w:rStyle w:val="19"/>
          <w:rFonts w:hint="eastAsia" w:ascii="楷体" w:hAnsi="楷体" w:eastAsia="楷体"/>
          <w:spacing w:val="-4"/>
          <w:sz w:val="32"/>
          <w:szCs w:val="32"/>
        </w:rPr>
        <w:t>部门基本支出</w:t>
      </w:r>
      <w:bookmarkEnd w:id="4"/>
      <w:r>
        <w:rPr>
          <w:rStyle w:val="19"/>
          <w:rFonts w:hint="eastAsia" w:ascii="楷体" w:hAnsi="楷体" w:eastAsia="楷体"/>
          <w:spacing w:val="-4"/>
          <w:sz w:val="32"/>
          <w:szCs w:val="32"/>
        </w:rPr>
        <w:t>资金安排落实、总投入等情况分析</w:t>
      </w:r>
    </w:p>
    <w:p>
      <w:pPr>
        <w:adjustRightInd w:val="0"/>
        <w:snapToGrid w:val="0"/>
        <w:spacing w:line="54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城乡建设用地增减挂钩项目工作经费为5万元万元，其中财政资金5万元， 2018年实际收到部门基本支出预算资金5万元。</w:t>
      </w:r>
    </w:p>
    <w:p>
      <w:pPr>
        <w:adjustRightInd w:val="0"/>
        <w:snapToGrid w:val="0"/>
        <w:spacing w:line="540" w:lineRule="exact"/>
        <w:ind w:firstLine="627" w:firstLineChars="200"/>
        <w:outlineLvl w:val="0"/>
        <w:rPr>
          <w:rStyle w:val="19"/>
          <w:rFonts w:ascii="楷体" w:hAnsi="楷体" w:eastAsia="楷体"/>
          <w:spacing w:val="-4"/>
          <w:sz w:val="32"/>
          <w:szCs w:val="32"/>
        </w:rPr>
      </w:pPr>
      <w:r>
        <w:rPr>
          <w:rStyle w:val="19"/>
          <w:rFonts w:hint="eastAsia" w:ascii="楷体" w:hAnsi="楷体" w:eastAsia="楷体"/>
          <w:spacing w:val="-4"/>
          <w:sz w:val="32"/>
          <w:szCs w:val="32"/>
        </w:rPr>
        <w:t>（二）</w:t>
      </w:r>
      <w:bookmarkStart w:id="5" w:name="_Hlk532982869"/>
      <w:r>
        <w:rPr>
          <w:rStyle w:val="19"/>
          <w:rFonts w:hint="eastAsia" w:ascii="楷体" w:hAnsi="楷体" w:eastAsia="楷体"/>
          <w:spacing w:val="-4"/>
          <w:sz w:val="32"/>
          <w:szCs w:val="32"/>
        </w:rPr>
        <w:t>部门基本支出资金</w:t>
      </w:r>
      <w:bookmarkEnd w:id="5"/>
      <w:r>
        <w:rPr>
          <w:rStyle w:val="19"/>
          <w:rFonts w:hint="eastAsia" w:ascii="楷体" w:hAnsi="楷体" w:eastAsia="楷体"/>
          <w:spacing w:val="-4"/>
          <w:sz w:val="32"/>
          <w:szCs w:val="32"/>
        </w:rPr>
        <w:t>实际使用情况分析</w:t>
      </w:r>
    </w:p>
    <w:p>
      <w:pPr>
        <w:adjustRightInd w:val="0"/>
        <w:snapToGrid w:val="0"/>
        <w:spacing w:line="540" w:lineRule="exact"/>
        <w:ind w:firstLine="624" w:firstLineChars="200"/>
        <w:rPr>
          <w:rFonts w:ascii="仿宋" w:hAnsi="仿宋" w:eastAsia="仿宋"/>
          <w:bCs/>
          <w:color w:val="FF0000"/>
          <w:spacing w:val="-4"/>
          <w:sz w:val="32"/>
          <w:szCs w:val="32"/>
        </w:rPr>
      </w:pPr>
      <w:r>
        <w:rPr>
          <w:rFonts w:hint="eastAsia" w:ascii="仿宋" w:hAnsi="仿宋" w:eastAsia="仿宋"/>
          <w:bCs/>
          <w:spacing w:val="-4"/>
          <w:sz w:val="32"/>
          <w:szCs w:val="32"/>
        </w:rPr>
        <w:t>城乡建设用地增减挂钩项目工作经费实际支付资金5万元，支付</w:t>
      </w:r>
      <w:r>
        <w:rPr>
          <w:rFonts w:hint="eastAsia" w:ascii="仿宋" w:hAnsi="仿宋" w:eastAsia="仿宋" w:cs="宋体"/>
          <w:color w:val="333333"/>
          <w:kern w:val="0"/>
          <w:sz w:val="32"/>
          <w:szCs w:val="32"/>
        </w:rPr>
        <w:t>燃油费2万元，支付车辆修理费1.103万元，支付办公用品0.7769万元，支付印刷费0.665万元，支付办公耗材0.48万元，支付其他费用0.0249万元</w:t>
      </w:r>
      <w:r>
        <w:rPr>
          <w:rFonts w:hint="eastAsia" w:ascii="仿宋" w:hAnsi="仿宋" w:eastAsia="仿宋" w:cs="仿宋"/>
          <w:sz w:val="32"/>
          <w:szCs w:val="32"/>
        </w:rPr>
        <w:t>。</w:t>
      </w:r>
    </w:p>
    <w:p>
      <w:pPr>
        <w:adjustRightInd w:val="0"/>
        <w:snapToGrid w:val="0"/>
        <w:spacing w:line="540" w:lineRule="exact"/>
        <w:ind w:firstLine="627" w:firstLineChars="200"/>
        <w:outlineLvl w:val="0"/>
        <w:rPr>
          <w:rStyle w:val="19"/>
          <w:rFonts w:ascii="楷体" w:hAnsi="楷体" w:eastAsia="楷体"/>
          <w:spacing w:val="-4"/>
          <w:sz w:val="32"/>
          <w:szCs w:val="32"/>
        </w:rPr>
      </w:pPr>
      <w:r>
        <w:rPr>
          <w:rStyle w:val="19"/>
          <w:rFonts w:hint="eastAsia" w:ascii="楷体" w:hAnsi="楷体" w:eastAsia="楷体"/>
          <w:spacing w:val="-4"/>
          <w:sz w:val="32"/>
          <w:szCs w:val="32"/>
        </w:rPr>
        <w:t>（三）</w:t>
      </w:r>
      <w:bookmarkStart w:id="6" w:name="_Hlk532983186"/>
      <w:r>
        <w:rPr>
          <w:rStyle w:val="19"/>
          <w:rFonts w:hint="eastAsia" w:ascii="楷体" w:hAnsi="楷体" w:eastAsia="楷体"/>
          <w:spacing w:val="-4"/>
          <w:sz w:val="32"/>
          <w:szCs w:val="32"/>
        </w:rPr>
        <w:t>部门基本支出</w:t>
      </w:r>
      <w:bookmarkEnd w:id="6"/>
      <w:r>
        <w:rPr>
          <w:rStyle w:val="19"/>
          <w:rFonts w:hint="eastAsia" w:ascii="楷体" w:hAnsi="楷体" w:eastAsia="楷体"/>
          <w:spacing w:val="-4"/>
          <w:sz w:val="32"/>
          <w:szCs w:val="32"/>
        </w:rPr>
        <w:t>管理情况分析</w:t>
      </w:r>
    </w:p>
    <w:p>
      <w:pPr>
        <w:adjustRightInd w:val="0"/>
        <w:snapToGrid w:val="0"/>
        <w:spacing w:line="540" w:lineRule="exact"/>
        <w:ind w:firstLine="624" w:firstLineChars="200"/>
        <w:rPr>
          <w:rStyle w:val="19"/>
          <w:rFonts w:ascii="仿宋" w:hAnsi="仿宋" w:eastAsia="仿宋"/>
          <w:b w:val="0"/>
          <w:bCs w:val="0"/>
          <w:spacing w:val="-4"/>
          <w:sz w:val="32"/>
          <w:szCs w:val="32"/>
        </w:rPr>
      </w:pPr>
      <w:r>
        <w:rPr>
          <w:rFonts w:hint="eastAsia" w:ascii="仿宋" w:hAnsi="仿宋" w:eastAsia="仿宋"/>
          <w:bCs/>
          <w:spacing w:val="-4"/>
          <w:sz w:val="32"/>
          <w:szCs w:val="32"/>
        </w:rPr>
        <w:t>分析内容包括：此项费用的支出符合《英吉沙县国土资源局财务管理制度及办法》；包括会计人员集中核算工作管理制度、财务收支审批制度、财务稽核制度、财务牵制制度、会计主管岗位职责等制度规定，基本支出的拨付有完整的审批程序和手续，不存在截留、挤占、挪用等情况。</w:t>
      </w:r>
    </w:p>
    <w:p>
      <w:pPr>
        <w:adjustRightInd w:val="0"/>
        <w:snapToGrid w:val="0"/>
        <w:spacing w:line="540" w:lineRule="exact"/>
        <w:ind w:firstLine="624" w:firstLineChars="200"/>
        <w:outlineLvl w:val="0"/>
        <w:rPr>
          <w:rStyle w:val="19"/>
          <w:rFonts w:ascii="黑体" w:hAnsi="黑体" w:eastAsia="黑体"/>
          <w:b w:val="0"/>
          <w:spacing w:val="-4"/>
          <w:sz w:val="32"/>
          <w:szCs w:val="32"/>
        </w:rPr>
      </w:pPr>
      <w:r>
        <w:rPr>
          <w:rStyle w:val="19"/>
          <w:rFonts w:hint="eastAsia" w:ascii="黑体" w:hAnsi="黑体" w:eastAsia="黑体"/>
          <w:b w:val="0"/>
          <w:spacing w:val="-4"/>
          <w:sz w:val="32"/>
          <w:szCs w:val="32"/>
        </w:rPr>
        <w:t>三、部门基本支出组织实施情况</w:t>
      </w:r>
    </w:p>
    <w:p>
      <w:pPr>
        <w:adjustRightInd w:val="0"/>
        <w:snapToGrid w:val="0"/>
        <w:spacing w:line="540" w:lineRule="exact"/>
        <w:ind w:firstLine="627" w:firstLineChars="200"/>
        <w:outlineLvl w:val="0"/>
        <w:rPr>
          <w:rStyle w:val="19"/>
          <w:rFonts w:ascii="楷体" w:hAnsi="楷体" w:eastAsia="楷体"/>
          <w:spacing w:val="-4"/>
          <w:sz w:val="32"/>
          <w:szCs w:val="32"/>
        </w:rPr>
      </w:pPr>
      <w:r>
        <w:rPr>
          <w:rStyle w:val="19"/>
          <w:rFonts w:hint="eastAsia" w:ascii="楷体" w:hAnsi="楷体" w:eastAsia="楷体"/>
          <w:spacing w:val="-4"/>
          <w:sz w:val="32"/>
          <w:szCs w:val="32"/>
        </w:rPr>
        <w:t>（一）部门基本支出组织情况分析</w:t>
      </w:r>
    </w:p>
    <w:p>
      <w:pPr>
        <w:adjustRightInd w:val="0"/>
        <w:snapToGrid w:val="0"/>
        <w:spacing w:line="540" w:lineRule="exact"/>
        <w:ind w:firstLine="624" w:firstLineChars="200"/>
        <w:rPr>
          <w:rStyle w:val="19"/>
          <w:rFonts w:ascii="仿宋" w:hAnsi="仿宋" w:eastAsia="仿宋"/>
          <w:b w:val="0"/>
          <w:spacing w:val="-4"/>
          <w:sz w:val="32"/>
          <w:szCs w:val="32"/>
        </w:rPr>
      </w:pPr>
      <w:r>
        <w:rPr>
          <w:rStyle w:val="19"/>
          <w:rFonts w:hint="eastAsia" w:ascii="仿宋" w:hAnsi="仿宋" w:eastAsia="仿宋"/>
          <w:b w:val="0"/>
          <w:spacing w:val="-4"/>
          <w:sz w:val="32"/>
          <w:szCs w:val="32"/>
        </w:rPr>
        <w:t>本项目不存在设备采购和检查验收事项。</w:t>
      </w:r>
    </w:p>
    <w:p>
      <w:pPr>
        <w:adjustRightInd w:val="0"/>
        <w:snapToGrid w:val="0"/>
        <w:spacing w:line="540" w:lineRule="exact"/>
        <w:ind w:firstLine="627" w:firstLineChars="200"/>
        <w:outlineLvl w:val="0"/>
        <w:rPr>
          <w:rStyle w:val="19"/>
          <w:rFonts w:ascii="楷体" w:hAnsi="楷体" w:eastAsia="楷体"/>
          <w:spacing w:val="-4"/>
          <w:sz w:val="32"/>
          <w:szCs w:val="32"/>
        </w:rPr>
      </w:pPr>
      <w:r>
        <w:rPr>
          <w:rStyle w:val="19"/>
          <w:rFonts w:hint="eastAsia" w:ascii="楷体" w:hAnsi="楷体" w:eastAsia="楷体"/>
          <w:spacing w:val="-4"/>
          <w:sz w:val="32"/>
          <w:szCs w:val="32"/>
        </w:rPr>
        <w:t>（二）部门基本支出管理情况分析</w:t>
      </w:r>
    </w:p>
    <w:p>
      <w:pPr>
        <w:adjustRightInd w:val="0"/>
        <w:snapToGrid w:val="0"/>
        <w:spacing w:line="540" w:lineRule="exact"/>
        <w:ind w:firstLine="624" w:firstLineChars="200"/>
        <w:rPr>
          <w:rStyle w:val="19"/>
          <w:rFonts w:ascii="仿宋" w:hAnsi="仿宋" w:eastAsia="仿宋"/>
          <w:b w:val="0"/>
          <w:spacing w:val="-4"/>
          <w:sz w:val="32"/>
          <w:szCs w:val="32"/>
        </w:rPr>
      </w:pPr>
      <w:r>
        <w:rPr>
          <w:rStyle w:val="19"/>
          <w:rFonts w:hint="eastAsia" w:ascii="仿宋" w:hAnsi="仿宋" w:eastAsia="仿宋"/>
          <w:b w:val="0"/>
          <w:spacing w:val="-4"/>
          <w:sz w:val="32"/>
          <w:szCs w:val="32"/>
        </w:rPr>
        <w:t>此项经费支付</w:t>
      </w:r>
      <w:r>
        <w:rPr>
          <w:rFonts w:hint="eastAsia" w:ascii="仿宋" w:hAnsi="仿宋" w:eastAsia="仿宋"/>
          <w:bCs/>
          <w:spacing w:val="-4"/>
          <w:sz w:val="32"/>
          <w:szCs w:val="32"/>
        </w:rPr>
        <w:t>过程中，根据《基本预算支出管理办法》，严格遵守相关法律法规和业务管理规定，支出资料齐全并及时归档。已建立《基本预算支出日常检查监督检查机制》，不定期对基本支出进度情况进行督导检查，对检查过程中发现的问题及时督促整改，确保</w:t>
      </w:r>
      <w:bookmarkStart w:id="7" w:name="_Hlk532984388"/>
      <w:r>
        <w:rPr>
          <w:rFonts w:hint="eastAsia" w:ascii="仿宋" w:hAnsi="仿宋" w:eastAsia="仿宋"/>
          <w:bCs/>
          <w:spacing w:val="-4"/>
          <w:sz w:val="32"/>
          <w:szCs w:val="32"/>
        </w:rPr>
        <w:t>基本支出</w:t>
      </w:r>
      <w:bookmarkEnd w:id="7"/>
      <w:r>
        <w:rPr>
          <w:rFonts w:hint="eastAsia" w:ascii="仿宋" w:hAnsi="仿宋" w:eastAsia="仿宋"/>
          <w:bCs/>
          <w:spacing w:val="-4"/>
          <w:sz w:val="32"/>
          <w:szCs w:val="32"/>
        </w:rPr>
        <w:t>有效、高质量的完成。</w:t>
      </w:r>
    </w:p>
    <w:p>
      <w:pPr>
        <w:adjustRightInd w:val="0"/>
        <w:snapToGrid w:val="0"/>
        <w:spacing w:line="540" w:lineRule="exact"/>
        <w:ind w:firstLine="624" w:firstLineChars="200"/>
        <w:outlineLvl w:val="0"/>
        <w:rPr>
          <w:rStyle w:val="19"/>
          <w:rFonts w:ascii="黑体" w:hAnsi="黑体" w:eastAsia="黑体"/>
          <w:sz w:val="32"/>
          <w:szCs w:val="32"/>
        </w:rPr>
      </w:pPr>
      <w:r>
        <w:rPr>
          <w:rStyle w:val="19"/>
          <w:rFonts w:hint="eastAsia" w:ascii="黑体" w:hAnsi="黑体" w:eastAsia="黑体"/>
          <w:b w:val="0"/>
          <w:spacing w:val="-4"/>
          <w:sz w:val="32"/>
          <w:szCs w:val="32"/>
        </w:rPr>
        <w:t>四、部门基本支出绩效情况</w:t>
      </w:r>
      <w:r>
        <w:rPr>
          <w:rStyle w:val="19"/>
          <w:rFonts w:hint="eastAsia" w:ascii="黑体" w:hAnsi="黑体" w:eastAsia="黑体"/>
          <w:sz w:val="32"/>
          <w:szCs w:val="32"/>
        </w:rPr>
        <w:t xml:space="preserve"> </w:t>
      </w:r>
    </w:p>
    <w:p>
      <w:pPr>
        <w:adjustRightInd w:val="0"/>
        <w:snapToGrid w:val="0"/>
        <w:spacing w:line="540" w:lineRule="exact"/>
        <w:ind w:firstLine="627" w:firstLineChars="200"/>
        <w:outlineLvl w:val="0"/>
        <w:rPr>
          <w:rStyle w:val="19"/>
          <w:rFonts w:ascii="楷体" w:hAnsi="楷体" w:eastAsia="楷体"/>
          <w:bCs w:val="0"/>
          <w:spacing w:val="-4"/>
          <w:sz w:val="32"/>
          <w:szCs w:val="32"/>
        </w:rPr>
      </w:pPr>
      <w:r>
        <w:rPr>
          <w:rFonts w:hint="eastAsia" w:ascii="楷体" w:hAnsi="楷体" w:eastAsia="楷体"/>
          <w:b/>
          <w:spacing w:val="-4"/>
          <w:sz w:val="32"/>
          <w:szCs w:val="32"/>
        </w:rPr>
        <w:t>（一）部门基本支出绩效目标完成情况分析</w:t>
      </w:r>
    </w:p>
    <w:p>
      <w:pPr>
        <w:spacing w:line="550" w:lineRule="exact"/>
        <w:ind w:firstLine="624" w:firstLineChars="200"/>
        <w:rPr>
          <w:rFonts w:ascii="仿宋_GB2312" w:eastAsia="仿宋_GB2312"/>
          <w:sz w:val="32"/>
          <w:szCs w:val="32"/>
        </w:rPr>
      </w:pPr>
      <w:r>
        <w:rPr>
          <w:rStyle w:val="19"/>
          <w:rFonts w:hint="eastAsia" w:ascii="仿宋" w:hAnsi="仿宋" w:eastAsia="仿宋"/>
          <w:b w:val="0"/>
          <w:spacing w:val="-4"/>
          <w:sz w:val="32"/>
          <w:szCs w:val="32"/>
        </w:rPr>
        <w:t>1、项目完成情况：</w:t>
      </w:r>
      <w:r>
        <w:rPr>
          <w:rFonts w:hint="eastAsia" w:ascii="仿宋_GB2312" w:eastAsia="仿宋_GB2312"/>
          <w:sz w:val="32"/>
          <w:szCs w:val="32"/>
        </w:rPr>
        <w:t>目前已完成我县</w:t>
      </w:r>
      <w:r>
        <w:rPr>
          <w:rFonts w:ascii="仿宋_GB2312" w:eastAsia="仿宋_GB2312"/>
          <w:sz w:val="32"/>
          <w:szCs w:val="32"/>
        </w:rPr>
        <w:t>6</w:t>
      </w:r>
      <w:r>
        <w:rPr>
          <w:rFonts w:hint="eastAsia" w:ascii="仿宋_GB2312" w:eastAsia="仿宋_GB2312"/>
          <w:sz w:val="32"/>
          <w:szCs w:val="32"/>
        </w:rPr>
        <w:t>个城乡建设用地增减挂钩项目实施规划，同时</w:t>
      </w:r>
      <w:r>
        <w:rPr>
          <w:rFonts w:ascii="仿宋_GB2312" w:eastAsia="仿宋_GB2312"/>
          <w:sz w:val="32"/>
          <w:szCs w:val="32"/>
        </w:rPr>
        <w:t>6</w:t>
      </w:r>
      <w:r>
        <w:rPr>
          <w:rFonts w:hint="eastAsia" w:ascii="仿宋_GB2312" w:eastAsia="仿宋_GB2312"/>
          <w:sz w:val="32"/>
          <w:szCs w:val="32"/>
        </w:rPr>
        <w:t>个项目面积</w:t>
      </w:r>
      <w:r>
        <w:rPr>
          <w:rFonts w:ascii="仿宋_GB2312" w:eastAsia="仿宋_GB2312"/>
          <w:sz w:val="32"/>
          <w:szCs w:val="32"/>
        </w:rPr>
        <w:t>1375.17</w:t>
      </w:r>
      <w:r>
        <w:rPr>
          <w:rFonts w:hint="eastAsia" w:ascii="仿宋_GB2312" w:eastAsia="仿宋_GB2312"/>
          <w:sz w:val="32"/>
          <w:szCs w:val="32"/>
        </w:rPr>
        <w:t>亩已经自治区专家组初步审查通过并已下达实施规划批复，涉及全县</w:t>
      </w:r>
      <w:r>
        <w:rPr>
          <w:rFonts w:ascii="仿宋_GB2312" w:eastAsia="仿宋_GB2312"/>
          <w:sz w:val="32"/>
          <w:szCs w:val="32"/>
        </w:rPr>
        <w:t>5</w:t>
      </w:r>
      <w:r>
        <w:rPr>
          <w:rFonts w:hint="eastAsia" w:ascii="仿宋_GB2312" w:eastAsia="仿宋_GB2312"/>
          <w:sz w:val="32"/>
          <w:szCs w:val="32"/>
        </w:rPr>
        <w:t>个乡镇</w:t>
      </w:r>
      <w:r>
        <w:rPr>
          <w:rFonts w:ascii="仿宋_GB2312" w:eastAsia="仿宋_GB2312"/>
          <w:sz w:val="32"/>
          <w:szCs w:val="32"/>
        </w:rPr>
        <w:t>13</w:t>
      </w:r>
      <w:r>
        <w:rPr>
          <w:rFonts w:hint="eastAsia" w:ascii="仿宋_GB2312" w:eastAsia="仿宋_GB2312"/>
          <w:sz w:val="32"/>
          <w:szCs w:val="32"/>
        </w:rPr>
        <w:t>个村。其中，</w:t>
      </w:r>
      <w:r>
        <w:rPr>
          <w:rFonts w:ascii="仿宋_GB2312" w:eastAsia="仿宋_GB2312"/>
          <w:sz w:val="32"/>
          <w:szCs w:val="32"/>
        </w:rPr>
        <w:t>650</w:t>
      </w:r>
      <w:r>
        <w:rPr>
          <w:rFonts w:hint="eastAsia" w:ascii="仿宋_GB2312" w:eastAsia="仿宋_GB2312"/>
          <w:sz w:val="32"/>
          <w:szCs w:val="32"/>
        </w:rPr>
        <w:t>亩已纳入到</w:t>
      </w:r>
      <w:r>
        <w:rPr>
          <w:rFonts w:ascii="仿宋_GB2312" w:eastAsia="仿宋_GB2312"/>
          <w:sz w:val="32"/>
          <w:szCs w:val="32"/>
        </w:rPr>
        <w:t>2018</w:t>
      </w:r>
      <w:r>
        <w:rPr>
          <w:rFonts w:hint="eastAsia" w:ascii="仿宋_GB2312" w:eastAsia="仿宋_GB2312"/>
          <w:sz w:val="32"/>
          <w:szCs w:val="32"/>
        </w:rPr>
        <w:t>年度增减挂钩结余指标跨省域调剂任务。以上项目的实施可以惠及到全县</w:t>
      </w:r>
      <w:bookmarkStart w:id="8" w:name="_GoBack"/>
      <w:bookmarkEnd w:id="8"/>
      <w:r>
        <w:rPr>
          <w:rFonts w:hint="eastAsia" w:ascii="仿宋_GB2312" w:eastAsia="仿宋_GB2312"/>
          <w:sz w:val="32"/>
          <w:szCs w:val="32"/>
        </w:rPr>
        <w:t>贫困户人口。</w:t>
      </w:r>
    </w:p>
    <w:p>
      <w:pPr>
        <w:adjustRightInd w:val="0"/>
        <w:snapToGrid w:val="0"/>
        <w:spacing w:line="540" w:lineRule="exact"/>
        <w:ind w:firstLine="624" w:firstLineChars="200"/>
        <w:rPr>
          <w:rFonts w:ascii="仿宋" w:hAnsi="仿宋" w:eastAsia="仿宋"/>
          <w:bCs/>
          <w:spacing w:val="-4"/>
          <w:sz w:val="32"/>
          <w:szCs w:val="32"/>
        </w:rPr>
      </w:pPr>
      <w:r>
        <w:rPr>
          <w:rStyle w:val="19"/>
          <w:rFonts w:hint="eastAsia" w:ascii="仿宋" w:hAnsi="仿宋" w:eastAsia="仿宋"/>
          <w:b w:val="0"/>
          <w:spacing w:val="-4"/>
          <w:sz w:val="32"/>
          <w:szCs w:val="32"/>
        </w:rPr>
        <w:t>2、项目效益情况：</w:t>
      </w:r>
      <w:r>
        <w:rPr>
          <w:rFonts w:hint="eastAsia" w:ascii="仿宋" w:hAnsi="仿宋" w:eastAsia="仿宋"/>
          <w:bCs/>
          <w:spacing w:val="-4"/>
          <w:sz w:val="32"/>
          <w:szCs w:val="32"/>
        </w:rPr>
        <w:t>通过</w:t>
      </w:r>
      <w:r>
        <w:rPr>
          <w:rFonts w:hint="eastAsia" w:ascii="仿宋" w:hAnsi="仿宋" w:eastAsia="仿宋" w:cs="宋体"/>
          <w:color w:val="333333"/>
          <w:kern w:val="0"/>
          <w:sz w:val="32"/>
          <w:szCs w:val="32"/>
        </w:rPr>
        <w:t>开展城乡建设用地增减挂钩项目，产生的建设用地指标可以异地交易，预计2018年交易资金约为2亿元，有效助力我县脱贫攻坚工作</w:t>
      </w:r>
      <w:r>
        <w:rPr>
          <w:rFonts w:hint="eastAsia" w:ascii="仿宋" w:hAnsi="仿宋" w:eastAsia="仿宋"/>
          <w:bCs/>
          <w:spacing w:val="-4"/>
          <w:sz w:val="32"/>
          <w:szCs w:val="32"/>
        </w:rPr>
        <w:t>。</w:t>
      </w:r>
    </w:p>
    <w:p>
      <w:pPr>
        <w:adjustRightInd w:val="0"/>
        <w:snapToGrid w:val="0"/>
        <w:spacing w:line="540" w:lineRule="exact"/>
        <w:ind w:firstLine="624" w:firstLineChars="200"/>
        <w:rPr>
          <w:rFonts w:ascii="仿宋" w:hAnsi="仿宋" w:eastAsia="仿宋"/>
          <w:bCs/>
          <w:spacing w:val="-4"/>
          <w:sz w:val="32"/>
          <w:szCs w:val="32"/>
        </w:rPr>
      </w:pPr>
      <w:r>
        <w:rPr>
          <w:rStyle w:val="19"/>
          <w:rFonts w:hint="eastAsia" w:ascii="仿宋" w:hAnsi="仿宋" w:eastAsia="仿宋"/>
          <w:b w:val="0"/>
          <w:spacing w:val="-4"/>
          <w:sz w:val="32"/>
          <w:szCs w:val="32"/>
        </w:rPr>
        <w:t>3、满意度情况：满意。</w:t>
      </w:r>
    </w:p>
    <w:p>
      <w:pPr>
        <w:adjustRightInd w:val="0"/>
        <w:snapToGrid w:val="0"/>
        <w:spacing w:line="54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（二）部门基本支出绩效目标未完成原因分析</w:t>
      </w:r>
    </w:p>
    <w:p>
      <w:pPr>
        <w:adjustRightInd w:val="0"/>
        <w:snapToGrid w:val="0"/>
        <w:spacing w:line="540" w:lineRule="exact"/>
        <w:ind w:firstLine="624" w:firstLineChars="200"/>
        <w:rPr>
          <w:rFonts w:ascii="仿宋" w:hAnsi="仿宋" w:eastAsia="仿宋"/>
          <w:bCs/>
          <w:spacing w:val="-4"/>
          <w:sz w:val="32"/>
          <w:szCs w:val="32"/>
        </w:rPr>
      </w:pPr>
      <w:r>
        <w:rPr>
          <w:rFonts w:hint="eastAsia" w:ascii="仿宋" w:hAnsi="仿宋" w:eastAsia="仿宋"/>
          <w:spacing w:val="-4"/>
          <w:sz w:val="32"/>
          <w:szCs w:val="32"/>
        </w:rPr>
        <w:t>不存在未完成情况。</w:t>
      </w:r>
    </w:p>
    <w:p>
      <w:pPr>
        <w:adjustRightInd w:val="0"/>
        <w:snapToGrid w:val="0"/>
        <w:spacing w:line="540" w:lineRule="exact"/>
        <w:ind w:firstLine="624" w:firstLineChars="200"/>
        <w:rPr>
          <w:rStyle w:val="19"/>
          <w:rFonts w:ascii="黑体" w:hAnsi="黑体" w:eastAsia="黑体"/>
          <w:b w:val="0"/>
          <w:spacing w:val="-4"/>
          <w:sz w:val="32"/>
          <w:szCs w:val="32"/>
        </w:rPr>
      </w:pPr>
      <w:r>
        <w:rPr>
          <w:rStyle w:val="19"/>
          <w:rFonts w:hint="eastAsia" w:ascii="黑体" w:hAnsi="黑体" w:eastAsia="黑体"/>
          <w:b w:val="0"/>
          <w:spacing w:val="-4"/>
          <w:sz w:val="32"/>
          <w:szCs w:val="32"/>
        </w:rPr>
        <w:t>五、其他需要说明的问题</w:t>
      </w:r>
    </w:p>
    <w:p>
      <w:pPr>
        <w:adjustRightInd w:val="0"/>
        <w:snapToGrid w:val="0"/>
        <w:spacing w:line="54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（一）后续工作计划</w:t>
      </w:r>
    </w:p>
    <w:p>
      <w:pPr>
        <w:adjustRightInd w:val="0"/>
        <w:snapToGrid w:val="0"/>
        <w:spacing w:line="540" w:lineRule="exact"/>
        <w:ind w:firstLine="640" w:firstLineChars="200"/>
        <w:outlineLvl w:val="0"/>
        <w:rPr>
          <w:rFonts w:ascii="仿宋" w:hAnsi="仿宋" w:eastAsia="仿宋" w:cs="仿宋"/>
          <w:sz w:val="32"/>
          <w:szCs w:val="32"/>
        </w:rPr>
      </w:pPr>
      <w:r>
        <w:rPr>
          <w:rFonts w:hint="eastAsia" w:ascii="仿宋" w:hAnsi="仿宋" w:eastAsia="仿宋" w:cs="仿宋"/>
          <w:sz w:val="32"/>
          <w:szCs w:val="32"/>
        </w:rPr>
        <w:t>无</w:t>
      </w:r>
    </w:p>
    <w:p>
      <w:pPr>
        <w:adjustRightInd w:val="0"/>
        <w:snapToGrid w:val="0"/>
        <w:spacing w:line="54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（二）主要经验及做法、存在问题和建议</w:t>
      </w:r>
    </w:p>
    <w:p>
      <w:pPr>
        <w:adjustRightInd w:val="0"/>
        <w:snapToGrid w:val="0"/>
        <w:spacing w:line="54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该项资金支付不存在问题。</w:t>
      </w:r>
    </w:p>
    <w:p>
      <w:pPr>
        <w:adjustRightInd w:val="0"/>
        <w:snapToGrid w:val="0"/>
        <w:spacing w:line="54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（三）其他</w:t>
      </w:r>
    </w:p>
    <w:p>
      <w:pPr>
        <w:adjustRightInd w:val="0"/>
        <w:snapToGrid w:val="0"/>
        <w:spacing w:line="540" w:lineRule="exact"/>
        <w:ind w:firstLine="624" w:firstLineChars="200"/>
        <w:rPr>
          <w:rFonts w:ascii="仿宋" w:hAnsi="仿宋" w:eastAsia="仿宋"/>
          <w:spacing w:val="-4"/>
          <w:sz w:val="32"/>
          <w:szCs w:val="32"/>
        </w:rPr>
      </w:pPr>
      <w:r>
        <w:rPr>
          <w:rFonts w:hint="eastAsia" w:ascii="仿宋" w:hAnsi="仿宋" w:eastAsia="仿宋"/>
          <w:spacing w:val="-4"/>
          <w:sz w:val="32"/>
          <w:szCs w:val="32"/>
        </w:rPr>
        <w:t>无其他说明内容</w:t>
      </w:r>
    </w:p>
    <w:p>
      <w:pPr>
        <w:adjustRightInd w:val="0"/>
        <w:snapToGrid w:val="0"/>
        <w:spacing w:line="540" w:lineRule="exact"/>
        <w:ind w:firstLine="624" w:firstLineChars="200"/>
        <w:outlineLvl w:val="0"/>
        <w:rPr>
          <w:rFonts w:ascii="黑体" w:hAnsi="黑体" w:eastAsia="黑体"/>
          <w:bCs/>
          <w:spacing w:val="-4"/>
          <w:sz w:val="32"/>
          <w:szCs w:val="32"/>
        </w:rPr>
      </w:pPr>
      <w:r>
        <w:rPr>
          <w:rStyle w:val="19"/>
          <w:rFonts w:hint="eastAsia" w:ascii="黑体" w:hAnsi="黑体" w:eastAsia="黑体"/>
          <w:b w:val="0"/>
          <w:spacing w:val="-4"/>
          <w:sz w:val="32"/>
          <w:szCs w:val="32"/>
        </w:rPr>
        <w:t>六、基本支出评价工作情况</w:t>
      </w:r>
    </w:p>
    <w:p>
      <w:pPr>
        <w:adjustRightInd w:val="0"/>
        <w:snapToGrid w:val="0"/>
        <w:spacing w:line="540" w:lineRule="exact"/>
        <w:ind w:firstLine="624" w:firstLineChars="200"/>
        <w:rPr>
          <w:rFonts w:ascii="仿宋" w:hAnsi="仿宋" w:eastAsia="仿宋"/>
          <w:spacing w:val="-4"/>
          <w:sz w:val="32"/>
          <w:szCs w:val="32"/>
        </w:rPr>
      </w:pPr>
      <w:r>
        <w:rPr>
          <w:rFonts w:hint="eastAsia" w:ascii="仿宋" w:hAnsi="仿宋" w:eastAsia="仿宋"/>
          <w:spacing w:val="-4"/>
          <w:sz w:val="32"/>
          <w:szCs w:val="32"/>
        </w:rPr>
        <w:t>本次评价通过文件研读、实地调研、数据分析等方式，全面了解英吉沙县国土资源局土地出让案件诉讼费的使用效率和效果，基本支出管理过程规范，完成了预期绩效目标。同时，通过开展自我评价来总结经验和教训，为顺利持续实施英吉沙县基本支出的工作奠定基础。</w:t>
      </w:r>
    </w:p>
    <w:p>
      <w:pPr>
        <w:adjustRightInd w:val="0"/>
        <w:snapToGrid w:val="0"/>
        <w:spacing w:line="540" w:lineRule="exact"/>
        <w:ind w:firstLine="624" w:firstLineChars="200"/>
        <w:outlineLvl w:val="0"/>
        <w:rPr>
          <w:rStyle w:val="19"/>
          <w:rFonts w:ascii="黑体" w:hAnsi="黑体" w:eastAsia="黑体"/>
          <w:b w:val="0"/>
          <w:spacing w:val="-4"/>
          <w:sz w:val="32"/>
          <w:szCs w:val="32"/>
        </w:rPr>
      </w:pPr>
      <w:r>
        <w:rPr>
          <w:rStyle w:val="19"/>
          <w:rFonts w:hint="eastAsia" w:ascii="黑体" w:hAnsi="黑体" w:eastAsia="黑体"/>
          <w:b w:val="0"/>
          <w:spacing w:val="-4"/>
          <w:sz w:val="32"/>
          <w:szCs w:val="32"/>
        </w:rPr>
        <w:t>七、附表</w:t>
      </w:r>
    </w:p>
    <w:p>
      <w:pPr>
        <w:adjustRightInd w:val="0"/>
        <w:snapToGrid w:val="0"/>
        <w:spacing w:line="540" w:lineRule="exact"/>
        <w:ind w:firstLine="624" w:firstLineChars="200"/>
        <w:rPr>
          <w:rStyle w:val="19"/>
          <w:rFonts w:ascii="仿宋" w:hAnsi="仿宋" w:eastAsia="仿宋"/>
          <w:b w:val="0"/>
          <w:spacing w:val="-4"/>
          <w:sz w:val="32"/>
          <w:szCs w:val="32"/>
        </w:rPr>
      </w:pPr>
      <w:r>
        <w:rPr>
          <w:rStyle w:val="19"/>
          <w:rFonts w:hint="eastAsia" w:ascii="仿宋" w:hAnsi="仿宋" w:eastAsia="仿宋"/>
          <w:b w:val="0"/>
          <w:spacing w:val="-4"/>
          <w:sz w:val="32"/>
          <w:szCs w:val="32"/>
        </w:rPr>
        <w:t>《部门预算基本支出绩效目标自评表》</w:t>
      </w:r>
    </w:p>
    <w:p>
      <w:pPr>
        <w:adjustRightInd w:val="0"/>
        <w:snapToGrid w:val="0"/>
        <w:spacing w:line="540" w:lineRule="exact"/>
        <w:ind w:firstLine="627" w:firstLineChars="200"/>
        <w:rPr>
          <w:rStyle w:val="19"/>
          <w:rFonts w:hint="eastAsia" w:ascii="仿宋" w:hAnsi="仿宋" w:eastAsia="仿宋"/>
          <w:spacing w:val="-4"/>
          <w:sz w:val="32"/>
          <w:szCs w:val="32"/>
        </w:rPr>
      </w:pPr>
    </w:p>
    <w:p>
      <w:pPr>
        <w:adjustRightInd w:val="0"/>
        <w:snapToGrid w:val="0"/>
        <w:spacing w:line="540" w:lineRule="exact"/>
        <w:ind w:firstLine="627" w:firstLineChars="200"/>
        <w:rPr>
          <w:rStyle w:val="19"/>
          <w:rFonts w:ascii="仿宋" w:hAnsi="仿宋" w:eastAsia="仿宋"/>
          <w:spacing w:val="-4"/>
          <w:sz w:val="32"/>
          <w:szCs w:val="32"/>
        </w:rPr>
      </w:pPr>
    </w:p>
    <w:p>
      <w:pPr>
        <w:adjustRightInd w:val="0"/>
        <w:snapToGrid w:val="0"/>
        <w:spacing w:line="540" w:lineRule="exact"/>
        <w:ind w:firstLine="624" w:firstLineChars="200"/>
        <w:jc w:val="right"/>
        <w:rPr>
          <w:rStyle w:val="19"/>
          <w:rFonts w:ascii="仿宋" w:hAnsi="仿宋" w:eastAsia="仿宋"/>
          <w:b w:val="0"/>
          <w:spacing w:val="-4"/>
          <w:sz w:val="32"/>
          <w:szCs w:val="32"/>
        </w:rPr>
      </w:pPr>
      <w:r>
        <w:rPr>
          <w:rStyle w:val="19"/>
          <w:rFonts w:hint="eastAsia" w:ascii="仿宋" w:hAnsi="仿宋" w:eastAsia="仿宋"/>
          <w:b w:val="0"/>
          <w:spacing w:val="-4"/>
          <w:sz w:val="32"/>
          <w:szCs w:val="32"/>
        </w:rPr>
        <w:t>英吉沙县国土资源局</w:t>
      </w:r>
    </w:p>
    <w:p>
      <w:pPr>
        <w:adjustRightInd w:val="0"/>
        <w:snapToGrid w:val="0"/>
        <w:spacing w:line="540" w:lineRule="exact"/>
        <w:ind w:firstLine="624" w:firstLineChars="200"/>
        <w:jc w:val="right"/>
        <w:rPr>
          <w:rStyle w:val="19"/>
          <w:rFonts w:ascii="仿宋" w:hAnsi="仿宋" w:eastAsia="仿宋"/>
          <w:b w:val="0"/>
          <w:spacing w:val="-4"/>
          <w:sz w:val="32"/>
          <w:szCs w:val="32"/>
        </w:rPr>
      </w:pPr>
      <w:r>
        <w:rPr>
          <w:rStyle w:val="19"/>
          <w:rFonts w:ascii="仿宋" w:hAnsi="仿宋" w:eastAsia="仿宋"/>
          <w:b w:val="0"/>
          <w:spacing w:val="-4"/>
          <w:sz w:val="32"/>
          <w:szCs w:val="32"/>
        </w:rPr>
        <w:t>2019年</w:t>
      </w:r>
      <w:r>
        <w:rPr>
          <w:rStyle w:val="19"/>
          <w:rFonts w:hint="eastAsia" w:ascii="仿宋" w:hAnsi="仿宋" w:eastAsia="仿宋"/>
          <w:b w:val="0"/>
          <w:spacing w:val="-4"/>
          <w:sz w:val="32"/>
          <w:szCs w:val="32"/>
        </w:rPr>
        <w:t>1</w:t>
      </w:r>
      <w:r>
        <w:rPr>
          <w:rStyle w:val="19"/>
          <w:rFonts w:ascii="仿宋" w:hAnsi="仿宋" w:eastAsia="仿宋"/>
          <w:b w:val="0"/>
          <w:spacing w:val="-4"/>
          <w:sz w:val="32"/>
          <w:szCs w:val="32"/>
        </w:rPr>
        <w:t>月</w:t>
      </w:r>
      <w:r>
        <w:rPr>
          <w:rStyle w:val="19"/>
          <w:rFonts w:hint="eastAsia" w:ascii="仿宋" w:hAnsi="仿宋" w:eastAsia="仿宋"/>
          <w:b w:val="0"/>
          <w:spacing w:val="-4"/>
          <w:sz w:val="32"/>
          <w:szCs w:val="32"/>
        </w:rPr>
        <w:t>31</w:t>
      </w:r>
      <w:r>
        <w:rPr>
          <w:rStyle w:val="19"/>
          <w:rFonts w:ascii="仿宋" w:hAnsi="仿宋" w:eastAsia="仿宋"/>
          <w:b w:val="0"/>
          <w:spacing w:val="-4"/>
          <w:sz w:val="32"/>
          <w:szCs w:val="32"/>
        </w:rPr>
        <w:t>日</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627892034"/>
      <w:docPartObj>
        <w:docPartGallery w:val="AutoText"/>
      </w:docPartObj>
    </w:sdtPr>
    <w:sdtContent>
      <w:p>
        <w:pPr>
          <w:pStyle w:val="13"/>
          <w:jc w:val="center"/>
        </w:pPr>
        <w:r>
          <w:fldChar w:fldCharType="begin"/>
        </w:r>
        <w:r>
          <w:instrText xml:space="preserve">PAGE   \* MERGEFORMAT</w:instrText>
        </w:r>
        <w:r>
          <w:fldChar w:fldCharType="separate"/>
        </w:r>
        <w:r>
          <w:rPr>
            <w:lang w:val="zh-CN"/>
          </w:rPr>
          <w:t>1</w:t>
        </w:r>
        <w:r>
          <w:fldChar w:fldCharType="end"/>
        </w:r>
      </w:p>
    </w:sdtContent>
  </w:sdt>
  <w:p>
    <w:pPr>
      <w:pStyle w:val="1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CA6457"/>
    <w:rsid w:val="0002134C"/>
    <w:rsid w:val="00073101"/>
    <w:rsid w:val="000D09F1"/>
    <w:rsid w:val="0012208E"/>
    <w:rsid w:val="00135256"/>
    <w:rsid w:val="0016428C"/>
    <w:rsid w:val="00170304"/>
    <w:rsid w:val="001A4E1F"/>
    <w:rsid w:val="001A57B9"/>
    <w:rsid w:val="001C3847"/>
    <w:rsid w:val="001F3031"/>
    <w:rsid w:val="00210A26"/>
    <w:rsid w:val="00273C06"/>
    <w:rsid w:val="002A2532"/>
    <w:rsid w:val="002B31C7"/>
    <w:rsid w:val="002D7B21"/>
    <w:rsid w:val="002F7377"/>
    <w:rsid w:val="003273B2"/>
    <w:rsid w:val="00360974"/>
    <w:rsid w:val="00365250"/>
    <w:rsid w:val="0036624C"/>
    <w:rsid w:val="00385849"/>
    <w:rsid w:val="003D1504"/>
    <w:rsid w:val="00494A21"/>
    <w:rsid w:val="0050167F"/>
    <w:rsid w:val="00514506"/>
    <w:rsid w:val="005162F1"/>
    <w:rsid w:val="00535153"/>
    <w:rsid w:val="005654DA"/>
    <w:rsid w:val="00575CFE"/>
    <w:rsid w:val="00577B8E"/>
    <w:rsid w:val="00592D09"/>
    <w:rsid w:val="00650889"/>
    <w:rsid w:val="00657F8C"/>
    <w:rsid w:val="00675D58"/>
    <w:rsid w:val="006A112C"/>
    <w:rsid w:val="006E276E"/>
    <w:rsid w:val="006F2E6D"/>
    <w:rsid w:val="007067A6"/>
    <w:rsid w:val="007218B8"/>
    <w:rsid w:val="00785FDE"/>
    <w:rsid w:val="007A0351"/>
    <w:rsid w:val="007A14BC"/>
    <w:rsid w:val="007C1025"/>
    <w:rsid w:val="007E6845"/>
    <w:rsid w:val="007F5F8A"/>
    <w:rsid w:val="00826CA1"/>
    <w:rsid w:val="00835B7F"/>
    <w:rsid w:val="00855E3A"/>
    <w:rsid w:val="00890320"/>
    <w:rsid w:val="008C7436"/>
    <w:rsid w:val="00902391"/>
    <w:rsid w:val="00922CB9"/>
    <w:rsid w:val="009B526F"/>
    <w:rsid w:val="009C1AFD"/>
    <w:rsid w:val="00A25EB4"/>
    <w:rsid w:val="00A26421"/>
    <w:rsid w:val="00A36E25"/>
    <w:rsid w:val="00A4293B"/>
    <w:rsid w:val="00A83BD5"/>
    <w:rsid w:val="00A97E05"/>
    <w:rsid w:val="00B06CA5"/>
    <w:rsid w:val="00B1195E"/>
    <w:rsid w:val="00B41F61"/>
    <w:rsid w:val="00B55332"/>
    <w:rsid w:val="00B86E8C"/>
    <w:rsid w:val="00BE1A00"/>
    <w:rsid w:val="00BE2120"/>
    <w:rsid w:val="00BF704A"/>
    <w:rsid w:val="00C13BF9"/>
    <w:rsid w:val="00C22CF0"/>
    <w:rsid w:val="00C56C72"/>
    <w:rsid w:val="00CA6457"/>
    <w:rsid w:val="00CB51CA"/>
    <w:rsid w:val="00CC6E4D"/>
    <w:rsid w:val="00D17F2E"/>
    <w:rsid w:val="00D27A99"/>
    <w:rsid w:val="00D46194"/>
    <w:rsid w:val="00E01293"/>
    <w:rsid w:val="00E01764"/>
    <w:rsid w:val="00E769FE"/>
    <w:rsid w:val="00EA2CBE"/>
    <w:rsid w:val="00EB190B"/>
    <w:rsid w:val="00F00C89"/>
    <w:rsid w:val="00F32FEE"/>
    <w:rsid w:val="00F56F91"/>
    <w:rsid w:val="00F65949"/>
    <w:rsid w:val="00FC23DD"/>
    <w:rsid w:val="463B1E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0" w:line="240" w:lineRule="auto"/>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2"/>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3"/>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8">
    <w:name w:val="Default Paragraph Font"/>
    <w:semiHidden/>
    <w:unhideWhenUsed/>
    <w:qFormat/>
    <w:uiPriority w:val="1"/>
  </w:style>
  <w:style w:type="table" w:default="1" w:styleId="17">
    <w:name w:val="Normal Table"/>
    <w:semiHidden/>
    <w:unhideWhenUsed/>
    <w:uiPriority w:val="99"/>
    <w:tblPr>
      <w:tblLayout w:type="fixed"/>
      <w:tblCellMar>
        <w:top w:w="0" w:type="dxa"/>
        <w:left w:w="108" w:type="dxa"/>
        <w:bottom w:w="0" w:type="dxa"/>
        <w:right w:w="108" w:type="dxa"/>
      </w:tblCellMar>
    </w:tblPr>
  </w:style>
  <w:style w:type="paragraph" w:styleId="11">
    <w:name w:val="Document Map"/>
    <w:basedOn w:val="1"/>
    <w:link w:val="46"/>
    <w:semiHidden/>
    <w:unhideWhenUsed/>
    <w:uiPriority w:val="99"/>
    <w:rPr>
      <w:rFonts w:ascii="宋体"/>
      <w:sz w:val="18"/>
      <w:szCs w:val="18"/>
    </w:rPr>
  </w:style>
  <w:style w:type="paragraph" w:styleId="12">
    <w:name w:val="Balloon Text"/>
    <w:basedOn w:val="1"/>
    <w:link w:val="47"/>
    <w:semiHidden/>
    <w:unhideWhenUsed/>
    <w:uiPriority w:val="99"/>
    <w:rPr>
      <w:sz w:val="18"/>
      <w:szCs w:val="18"/>
    </w:rPr>
  </w:style>
  <w:style w:type="paragraph" w:styleId="13">
    <w:name w:val="footer"/>
    <w:basedOn w:val="1"/>
    <w:link w:val="45"/>
    <w:unhideWhenUsed/>
    <w:uiPriority w:val="99"/>
    <w:pPr>
      <w:tabs>
        <w:tab w:val="center" w:pos="4153"/>
        <w:tab w:val="right" w:pos="8306"/>
      </w:tabs>
      <w:snapToGrid w:val="0"/>
      <w:jc w:val="left"/>
    </w:pPr>
    <w:rPr>
      <w:rFonts w:ascii="Calibri" w:hAnsi="Calibri"/>
      <w:sz w:val="18"/>
      <w:szCs w:val="18"/>
    </w:rPr>
  </w:style>
  <w:style w:type="paragraph" w:styleId="14">
    <w:name w:val="header"/>
    <w:basedOn w:val="1"/>
    <w:link w:val="44"/>
    <w:unhideWhenUsed/>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5">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6">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9">
    <w:name w:val="Strong"/>
    <w:basedOn w:val="18"/>
    <w:qFormat/>
    <w:uiPriority w:val="0"/>
    <w:rPr>
      <w:b/>
      <w:bCs/>
    </w:rPr>
  </w:style>
  <w:style w:type="character" w:styleId="20">
    <w:name w:val="Emphasis"/>
    <w:basedOn w:val="18"/>
    <w:qFormat/>
    <w:uiPriority w:val="20"/>
    <w:rPr>
      <w:rFonts w:asciiTheme="minorHAnsi" w:hAnsiTheme="minorHAnsi"/>
      <w:b/>
      <w:i/>
      <w:iCs/>
    </w:rPr>
  </w:style>
  <w:style w:type="character" w:customStyle="1" w:styleId="21">
    <w:name w:val="标题 1 Char"/>
    <w:basedOn w:val="18"/>
    <w:link w:val="2"/>
    <w:uiPriority w:val="9"/>
    <w:rPr>
      <w:rFonts w:asciiTheme="majorHAnsi" w:hAnsiTheme="majorHAnsi" w:eastAsiaTheme="majorEastAsia"/>
      <w:b/>
      <w:bCs/>
      <w:kern w:val="32"/>
      <w:sz w:val="32"/>
      <w:szCs w:val="32"/>
    </w:rPr>
  </w:style>
  <w:style w:type="character" w:customStyle="1" w:styleId="22">
    <w:name w:val="标题 2 Char"/>
    <w:basedOn w:val="18"/>
    <w:link w:val="3"/>
    <w:semiHidden/>
    <w:uiPriority w:val="9"/>
    <w:rPr>
      <w:rFonts w:asciiTheme="majorHAnsi" w:hAnsiTheme="majorHAnsi" w:eastAsiaTheme="majorEastAsia"/>
      <w:b/>
      <w:bCs/>
      <w:i/>
      <w:iCs/>
      <w:sz w:val="28"/>
      <w:szCs w:val="28"/>
    </w:rPr>
  </w:style>
  <w:style w:type="character" w:customStyle="1" w:styleId="23">
    <w:name w:val="标题 3 Char"/>
    <w:basedOn w:val="18"/>
    <w:link w:val="4"/>
    <w:semiHidden/>
    <w:qFormat/>
    <w:uiPriority w:val="9"/>
    <w:rPr>
      <w:rFonts w:asciiTheme="majorHAnsi" w:hAnsiTheme="majorHAnsi" w:eastAsiaTheme="majorEastAsia"/>
      <w:b/>
      <w:bCs/>
      <w:sz w:val="26"/>
      <w:szCs w:val="26"/>
    </w:rPr>
  </w:style>
  <w:style w:type="character" w:customStyle="1" w:styleId="24">
    <w:name w:val="标题 4 Char"/>
    <w:basedOn w:val="18"/>
    <w:link w:val="5"/>
    <w:semiHidden/>
    <w:qFormat/>
    <w:uiPriority w:val="9"/>
    <w:rPr>
      <w:b/>
      <w:bCs/>
      <w:sz w:val="28"/>
      <w:szCs w:val="28"/>
    </w:rPr>
  </w:style>
  <w:style w:type="character" w:customStyle="1" w:styleId="25">
    <w:name w:val="标题 5 Char"/>
    <w:basedOn w:val="18"/>
    <w:link w:val="6"/>
    <w:semiHidden/>
    <w:qFormat/>
    <w:uiPriority w:val="9"/>
    <w:rPr>
      <w:b/>
      <w:bCs/>
      <w:i/>
      <w:iCs/>
      <w:sz w:val="26"/>
      <w:szCs w:val="26"/>
    </w:rPr>
  </w:style>
  <w:style w:type="character" w:customStyle="1" w:styleId="26">
    <w:name w:val="标题 6 Char"/>
    <w:basedOn w:val="18"/>
    <w:link w:val="7"/>
    <w:semiHidden/>
    <w:uiPriority w:val="9"/>
    <w:rPr>
      <w:b/>
      <w:bCs/>
    </w:rPr>
  </w:style>
  <w:style w:type="character" w:customStyle="1" w:styleId="27">
    <w:name w:val="标题 7 Char"/>
    <w:basedOn w:val="18"/>
    <w:link w:val="8"/>
    <w:semiHidden/>
    <w:qFormat/>
    <w:uiPriority w:val="9"/>
    <w:rPr>
      <w:sz w:val="24"/>
      <w:szCs w:val="24"/>
    </w:rPr>
  </w:style>
  <w:style w:type="character" w:customStyle="1" w:styleId="28">
    <w:name w:val="标题 8 Char"/>
    <w:basedOn w:val="18"/>
    <w:link w:val="9"/>
    <w:semiHidden/>
    <w:uiPriority w:val="9"/>
    <w:rPr>
      <w:i/>
      <w:iCs/>
      <w:sz w:val="24"/>
      <w:szCs w:val="24"/>
    </w:rPr>
  </w:style>
  <w:style w:type="character" w:customStyle="1" w:styleId="29">
    <w:name w:val="标题 9 Char"/>
    <w:basedOn w:val="18"/>
    <w:link w:val="10"/>
    <w:semiHidden/>
    <w:uiPriority w:val="9"/>
    <w:rPr>
      <w:rFonts w:asciiTheme="majorHAnsi" w:hAnsiTheme="majorHAnsi" w:eastAsiaTheme="majorEastAsia"/>
    </w:rPr>
  </w:style>
  <w:style w:type="character" w:customStyle="1" w:styleId="30">
    <w:name w:val="标题 Char"/>
    <w:basedOn w:val="18"/>
    <w:link w:val="16"/>
    <w:uiPriority w:val="10"/>
    <w:rPr>
      <w:rFonts w:asciiTheme="majorHAnsi" w:hAnsiTheme="majorHAnsi" w:eastAsiaTheme="majorEastAsia"/>
      <w:b/>
      <w:bCs/>
      <w:kern w:val="28"/>
      <w:sz w:val="32"/>
      <w:szCs w:val="32"/>
    </w:rPr>
  </w:style>
  <w:style w:type="character" w:customStyle="1" w:styleId="31">
    <w:name w:val="副标题 Char"/>
    <w:basedOn w:val="18"/>
    <w:link w:val="15"/>
    <w:uiPriority w:val="11"/>
    <w:rPr>
      <w:rFonts w:asciiTheme="majorHAnsi" w:hAnsiTheme="majorHAnsi" w:eastAsiaTheme="majorEastAsia"/>
      <w:sz w:val="24"/>
      <w:szCs w:val="24"/>
    </w:rPr>
  </w:style>
  <w:style w:type="paragraph"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Char"/>
    <w:basedOn w:val="18"/>
    <w:link w:val="34"/>
    <w:uiPriority w:val="29"/>
    <w:rPr>
      <w:i/>
      <w:sz w:val="24"/>
      <w:szCs w:val="24"/>
    </w:rPr>
  </w:style>
  <w:style w:type="paragraph"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Char"/>
    <w:basedOn w:val="18"/>
    <w:link w:val="36"/>
    <w:uiPriority w:val="30"/>
    <w:rPr>
      <w:b/>
      <w:i/>
      <w:sz w:val="24"/>
    </w:rPr>
  </w:style>
  <w:style w:type="character" w:customStyle="1" w:styleId="38">
    <w:name w:val="Subtle Emphasis"/>
    <w:qFormat/>
    <w:uiPriority w:val="19"/>
    <w:rPr>
      <w:i/>
      <w:color w:val="595959" w:themeColor="text1" w:themeTint="A5"/>
    </w:rPr>
  </w:style>
  <w:style w:type="character" w:customStyle="1" w:styleId="39">
    <w:name w:val="Intense Emphasis"/>
    <w:basedOn w:val="18"/>
    <w:qFormat/>
    <w:uiPriority w:val="21"/>
    <w:rPr>
      <w:b/>
      <w:i/>
      <w:sz w:val="24"/>
      <w:szCs w:val="24"/>
      <w:u w:val="single"/>
    </w:rPr>
  </w:style>
  <w:style w:type="character" w:customStyle="1" w:styleId="40">
    <w:name w:val="Subtle Reference"/>
    <w:basedOn w:val="18"/>
    <w:qFormat/>
    <w:uiPriority w:val="31"/>
    <w:rPr>
      <w:sz w:val="24"/>
      <w:szCs w:val="24"/>
      <w:u w:val="single"/>
    </w:rPr>
  </w:style>
  <w:style w:type="character" w:customStyle="1" w:styleId="41">
    <w:name w:val="Intense Reference"/>
    <w:basedOn w:val="18"/>
    <w:qFormat/>
    <w:uiPriority w:val="32"/>
    <w:rPr>
      <w:b/>
      <w:sz w:val="24"/>
      <w:u w:val="single"/>
    </w:rPr>
  </w:style>
  <w:style w:type="character" w:customStyle="1" w:styleId="42">
    <w:name w:val="Book Title"/>
    <w:basedOn w:val="18"/>
    <w:qFormat/>
    <w:uiPriority w:val="33"/>
    <w:rPr>
      <w:rFonts w:asciiTheme="majorHAnsi" w:hAnsiTheme="majorHAnsi" w:eastAsiaTheme="majorEastAsia"/>
      <w:b/>
      <w:i/>
      <w:sz w:val="24"/>
      <w:szCs w:val="24"/>
    </w:rPr>
  </w:style>
  <w:style w:type="paragraph" w:customStyle="1" w:styleId="43">
    <w:name w:val="TOC Heading"/>
    <w:basedOn w:val="2"/>
    <w:next w:val="1"/>
    <w:semiHidden/>
    <w:unhideWhenUsed/>
    <w:qFormat/>
    <w:uiPriority w:val="39"/>
    <w:pPr>
      <w:outlineLvl w:val="9"/>
    </w:pPr>
    <w:rPr>
      <w:lang w:eastAsia="en-US" w:bidi="en-US"/>
    </w:rPr>
  </w:style>
  <w:style w:type="character" w:customStyle="1" w:styleId="44">
    <w:name w:val="页眉 Char"/>
    <w:basedOn w:val="18"/>
    <w:link w:val="14"/>
    <w:uiPriority w:val="99"/>
    <w:rPr>
      <w:rFonts w:ascii="Calibri" w:hAnsi="Calibri" w:eastAsia="宋体"/>
      <w:kern w:val="2"/>
      <w:sz w:val="18"/>
      <w:szCs w:val="18"/>
    </w:rPr>
  </w:style>
  <w:style w:type="character" w:customStyle="1" w:styleId="45">
    <w:name w:val="页脚 Char"/>
    <w:basedOn w:val="18"/>
    <w:link w:val="13"/>
    <w:uiPriority w:val="99"/>
    <w:rPr>
      <w:rFonts w:ascii="Calibri" w:hAnsi="Calibri" w:eastAsia="宋体"/>
      <w:kern w:val="2"/>
      <w:sz w:val="18"/>
      <w:szCs w:val="18"/>
    </w:rPr>
  </w:style>
  <w:style w:type="character" w:customStyle="1" w:styleId="46">
    <w:name w:val="文档结构图 Char"/>
    <w:basedOn w:val="18"/>
    <w:link w:val="11"/>
    <w:semiHidden/>
    <w:uiPriority w:val="99"/>
    <w:rPr>
      <w:rFonts w:ascii="宋体" w:hAnsi="Times New Roman" w:eastAsia="宋体"/>
      <w:kern w:val="2"/>
      <w:sz w:val="18"/>
      <w:szCs w:val="18"/>
    </w:rPr>
  </w:style>
  <w:style w:type="character" w:customStyle="1" w:styleId="47">
    <w:name w:val="批注框文本 Char"/>
    <w:basedOn w:val="18"/>
    <w:link w:val="12"/>
    <w:semiHidden/>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31CA47A-06D0-4E0B-825D-B3DF01BFAA09}">
  <ds:schemaRefs/>
</ds:datastoreItem>
</file>

<file path=docProps/app.xml><?xml version="1.0" encoding="utf-8"?>
<Properties xmlns="http://schemas.openxmlformats.org/officeDocument/2006/extended-properties" xmlns:vt="http://schemas.openxmlformats.org/officeDocument/2006/docPropsVTypes">
  <Template>Normal</Template>
  <Pages>4</Pages>
  <Words>240</Words>
  <Characters>1374</Characters>
  <Lines>11</Lines>
  <Paragraphs>3</Paragraphs>
  <TotalTime>115</TotalTime>
  <ScaleCrop>false</ScaleCrop>
  <LinksUpToDate>false</LinksUpToDate>
  <CharactersWithSpaces>1611</CharactersWithSpaces>
  <Application>WPS Office_11.1.0.8976_F1E327BC-269C-435d-A152-05C5408002CA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2018-12-19T04:47:00Z</dcterms:created>
  <dc:creator>赵 恺（预算处）</dc:creator>
  <cp:lastModifiedBy>Administrator</cp:lastModifiedBy>
  <cp:lastPrinted>2018-12-17T10:15:00Z</cp:lastPrinted>
  <dcterms:modified xsi:type="dcterms:W3CDTF">2019-09-20T08:50:42Z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2052-11.1.0.8976</vt:lpwstr>
  </property>
</Properties>
</file>